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2B" w:rsidRDefault="008A5E2B" w:rsidP="008A5E2B">
      <w:pPr>
        <w:widowControl/>
        <w:jc w:val="left"/>
        <w:rPr>
          <w:rFonts w:ascii="Arial Narrow" w:eastAsia="仿宋_GB2312" w:hAnsi="Arial Narrow"/>
          <w:color w:val="000000"/>
          <w:sz w:val="32"/>
          <w:szCs w:val="32"/>
        </w:rPr>
      </w:pPr>
      <w:r>
        <w:rPr>
          <w:rFonts w:ascii="仿宋_GB2312" w:eastAsia="仿宋_GB2312" w:hAnsi="Arial Narrow" w:cs="华文仿宋" w:hint="eastAsia"/>
          <w:color w:val="000000"/>
          <w:sz w:val="30"/>
          <w:szCs w:val="30"/>
        </w:rPr>
        <w:t>附件</w:t>
      </w:r>
      <w:r>
        <w:rPr>
          <w:rFonts w:ascii="仿宋_GB2312" w:eastAsia="仿宋_GB2312" w:hAnsi="Arial Narrow" w:cs="华文仿宋"/>
          <w:color w:val="000000"/>
          <w:sz w:val="30"/>
          <w:szCs w:val="30"/>
        </w:rPr>
        <w:t>2</w:t>
      </w:r>
    </w:p>
    <w:p w:rsidR="008A5E2B" w:rsidRDefault="008A5E2B" w:rsidP="008A5E2B">
      <w:pPr>
        <w:jc w:val="center"/>
        <w:rPr>
          <w:rFonts w:ascii="黑体" w:eastAsia="黑体" w:hAnsi="黑体"/>
          <w:b/>
          <w:bCs/>
          <w:color w:val="000000"/>
          <w:kern w:val="0"/>
          <w:sz w:val="36"/>
          <w:szCs w:val="36"/>
        </w:rPr>
      </w:pPr>
      <w:r>
        <w:rPr>
          <w:rFonts w:ascii="黑体" w:eastAsia="黑体" w:hAnsi="黑体" w:hint="eastAsia"/>
          <w:b/>
          <w:bCs/>
          <w:color w:val="000000"/>
          <w:kern w:val="0"/>
          <w:sz w:val="36"/>
          <w:szCs w:val="36"/>
        </w:rPr>
        <w:t>辽宁省第一届职业技能大赛监督工作记录表</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0"/>
        <w:gridCol w:w="1276"/>
        <w:gridCol w:w="850"/>
      </w:tblGrid>
      <w:tr w:rsidR="008A5E2B" w:rsidTr="00F940AC">
        <w:trPr>
          <w:trHeight w:val="680"/>
        </w:trPr>
        <w:tc>
          <w:tcPr>
            <w:tcW w:w="709" w:type="dxa"/>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模块</w:t>
            </w:r>
          </w:p>
        </w:tc>
        <w:tc>
          <w:tcPr>
            <w:tcW w:w="5670" w:type="dxa"/>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监督内容</w:t>
            </w:r>
          </w:p>
        </w:tc>
        <w:tc>
          <w:tcPr>
            <w:tcW w:w="1276" w:type="dxa"/>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监督情况</w:t>
            </w:r>
          </w:p>
        </w:tc>
        <w:tc>
          <w:tcPr>
            <w:tcW w:w="850" w:type="dxa"/>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备注</w:t>
            </w:r>
          </w:p>
        </w:tc>
      </w:tr>
      <w:tr w:rsidR="008A5E2B" w:rsidTr="00F940AC">
        <w:trPr>
          <w:trHeight w:val="680"/>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设备设施管理监督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赛场环境是否适宜，光照、通风、温湿度等是否符合竞赛需求和竞赛规程要求</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vAlign w:val="center"/>
          </w:tcPr>
          <w:p w:rsidR="008A5E2B" w:rsidRDefault="008A5E2B" w:rsidP="00F940AC">
            <w:pPr>
              <w:snapToGrid w:val="0"/>
              <w:rPr>
                <w:rFonts w:ascii="仿宋_GB2312" w:eastAsia="仿宋_GB2312" w:hAnsi="仿宋" w:cs="Arial"/>
                <w:b/>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赛场是否集中，赛位是否独立</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赛项是否建立了完善的赛项保障组织管理机制</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在赛场人员密集处是否张贴信息完整的赛场布局平面图</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赛项是否按规定使用大赛的标注、标识，且赛场内其余的标注、标识是否按大赛规定统一设计</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赛项设备是否符合安全标准、行业标准、技术标准等相关规定</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赛项是否遵照行业相关规定使用与处理竞赛中涉及到的国家管控的易燃、易爆、化工、药品、有毒等物品</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赛位上是否张贴各种设备的安全文明操作说明</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赛位上是否有监控录像设备</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专家组是否严格遵照验收时间节点，待设备设施赛前试运行无误后进行签字封场</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安全管理监督</w:t>
            </w:r>
          </w:p>
        </w:tc>
        <w:tc>
          <w:tcPr>
            <w:tcW w:w="5670" w:type="dxa"/>
            <w:vAlign w:val="center"/>
          </w:tcPr>
          <w:p w:rsidR="008A5E2B" w:rsidRDefault="008A5E2B" w:rsidP="00F940AC">
            <w:pPr>
              <w:snapToGrid w:val="0"/>
              <w:rPr>
                <w:rFonts w:ascii="仿宋_GB2312" w:eastAsia="仿宋_GB2312" w:hAnsi="仿宋" w:cs="Arial"/>
                <w:color w:val="000000"/>
                <w:sz w:val="24"/>
              </w:rPr>
            </w:pPr>
            <w:r>
              <w:rPr>
                <w:rFonts w:ascii="仿宋_GB2312" w:eastAsia="仿宋_GB2312" w:hAnsi="仿宋" w:cs="Arial" w:hint="eastAsia"/>
                <w:color w:val="000000"/>
                <w:sz w:val="24"/>
              </w:rPr>
              <w:t>赛项是否制定了安全管理相应规范、流程和应急预案</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rPr>
                <w:rFonts w:ascii="仿宋_GB2312" w:eastAsia="仿宋_GB2312" w:hAnsi="仿宋" w:cs="Arial"/>
                <w:color w:val="000000"/>
                <w:sz w:val="24"/>
              </w:rPr>
            </w:pPr>
            <w:r>
              <w:rPr>
                <w:rFonts w:ascii="仿宋_GB2312" w:eastAsia="仿宋_GB2312" w:hAnsi="仿宋" w:cs="Arial" w:hint="eastAsia"/>
                <w:color w:val="000000"/>
                <w:sz w:val="24"/>
              </w:rPr>
              <w:t>赛项比赛内容涉及的器材和设备是否符合国家有关安全规定，专家组是否对可能存在的危险因素采取防范措施</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rPr>
                <w:rFonts w:ascii="仿宋_GB2312" w:eastAsia="仿宋_GB2312" w:hAnsi="仿宋" w:cs="Arial"/>
                <w:color w:val="000000"/>
                <w:sz w:val="24"/>
              </w:rPr>
            </w:pPr>
            <w:r>
              <w:rPr>
                <w:rFonts w:ascii="仿宋_GB2312" w:eastAsia="仿宋_GB2312" w:hAnsi="仿宋" w:cs="Arial" w:hint="eastAsia"/>
                <w:color w:val="000000"/>
                <w:sz w:val="24"/>
              </w:rPr>
              <w:t>赛项执委会是否在赛前组织本赛项全体裁判员、工作人员进行安全培训</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rPr>
                <w:rFonts w:ascii="仿宋_GB2312" w:eastAsia="仿宋_GB2312" w:hAnsi="仿宋" w:cs="Arial"/>
                <w:color w:val="000000"/>
                <w:sz w:val="24"/>
              </w:rPr>
            </w:pPr>
            <w:r>
              <w:rPr>
                <w:rFonts w:ascii="仿宋_GB2312" w:eastAsia="仿宋_GB2312" w:hAnsi="仿宋" w:cs="Arial" w:hint="eastAsia"/>
                <w:color w:val="000000"/>
                <w:sz w:val="24"/>
              </w:rPr>
              <w:t>承办院校是否有对比赛现场、住宿场所和周边交通进行安全隐患的排查，并在赛场周围设置警戒线</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rPr>
                <w:rFonts w:ascii="仿宋_GB2312" w:eastAsia="仿宋_GB2312" w:hAnsi="仿宋" w:cs="Arial"/>
                <w:color w:val="000000"/>
                <w:sz w:val="24"/>
              </w:rPr>
            </w:pPr>
            <w:r>
              <w:rPr>
                <w:rFonts w:ascii="仿宋_GB2312" w:eastAsia="仿宋_GB2312" w:hAnsi="仿宋" w:cs="Arial" w:hint="eastAsia"/>
                <w:color w:val="000000"/>
                <w:sz w:val="24"/>
              </w:rPr>
              <w:t>承办院校是否具备保障应急预案实施的人力、物力条件</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rPr>
                <w:rFonts w:ascii="仿宋_GB2312" w:eastAsia="仿宋_GB2312" w:hAnsi="仿宋" w:cs="Arial"/>
                <w:color w:val="000000"/>
                <w:sz w:val="24"/>
              </w:rPr>
            </w:pPr>
            <w:r>
              <w:rPr>
                <w:rFonts w:ascii="仿宋_GB2312" w:eastAsia="仿宋_GB2312" w:hAnsi="仿宋" w:cs="Arial" w:hint="eastAsia"/>
                <w:color w:val="000000"/>
                <w:sz w:val="24"/>
              </w:rPr>
              <w:t>针对开放赛场的赛项和有赛场体验区的赛项，赛项执委会与承办院校是否制定了人员疏散方案</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rPr>
                <w:rFonts w:ascii="仿宋_GB2312" w:eastAsia="仿宋_GB2312" w:hAnsi="仿宋" w:cs="Arial"/>
                <w:color w:val="000000"/>
                <w:sz w:val="24"/>
              </w:rPr>
            </w:pPr>
            <w:r>
              <w:rPr>
                <w:rFonts w:ascii="仿宋_GB2312" w:eastAsia="仿宋_GB2312" w:hAnsi="仿宋" w:cs="Arial" w:hint="eastAsia"/>
                <w:color w:val="000000"/>
                <w:sz w:val="24"/>
              </w:rPr>
              <w:t>承办院校是否尊重少数民族参赛选手和教师的宗教信仰及文化习俗</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是否为参赛选手购买大赛期间的人身意外伤害保险</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赛题管理监督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赛项命题专家是否制定了赛题管理安全预案</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按规程公开赛卷的赛项是否公开了赛卷</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按规程公开赛题库的赛项是否于开赛前一个月在大赛官网公开了赛题库</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按规程公开赛题库的赛项是否组成了2套以上赛卷的赛卷库</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赛卷是否于比赛前三天内，在抽题人员抽取赛卷前，由监督仲裁人员随机排序</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赛卷装袋封条上的信息是否完整，主要包括：赛项名称、批次、数量和封存人员签名等</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赛卷封装完毕后是否存放于双锁保密铁柜内，由赛项监督仲裁人员与保密室负责人共同负责保管</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赛卷取人是否在考前</w:t>
            </w:r>
            <w:r>
              <w:rPr>
                <w:rFonts w:ascii="仿宋_GB2312" w:eastAsia="仿宋_GB2312" w:hAnsi="仿宋" w:cs="Arial"/>
                <w:color w:val="000000"/>
                <w:sz w:val="24"/>
              </w:rPr>
              <w:t>30</w:t>
            </w:r>
            <w:r>
              <w:rPr>
                <w:rFonts w:ascii="仿宋_GB2312" w:eastAsia="仿宋_GB2312" w:hAnsi="仿宋" w:cs="Arial" w:hint="eastAsia"/>
                <w:color w:val="000000"/>
                <w:sz w:val="24"/>
              </w:rPr>
              <w:t>分钟内到保密室领取赛卷</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赛卷领取人是否在领取试卷后直接到达赛场</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所有涉及竞赛赛卷的人员是否均签署了保密协议</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回收人员是否将竞赛用的所有材料全部回收</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启用备用试卷的赛场，赛场情况记录表上是否注明原因（监督仲裁人员需要在考场情况记录表上签名）</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赛卷保管人员是否对密封好的回收材料做好记录并签名</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回收材料是否由赛项承办单位就地封存，妥善保管</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裁判培训监督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实到裁判人员是否与赛项执委会公布名单一致</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赛项专家组对裁判团队的赛前培训工作是否组织到位，且达到预期的培训目标</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培训内容是否全面，包含竞赛规程和执裁工作纪律等</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558"/>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赛场</w:t>
            </w:r>
            <w:r>
              <w:rPr>
                <w:rFonts w:ascii="仿宋_GB2312" w:eastAsia="仿宋_GB2312" w:hAnsi="仿宋" w:cs="Arial" w:hint="eastAsia"/>
                <w:b/>
                <w:color w:val="000000"/>
                <w:sz w:val="24"/>
              </w:rPr>
              <w:lastRenderedPageBreak/>
              <w:t>纪律监督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lastRenderedPageBreak/>
              <w:t>参赛选手和赛项裁判人员是否携带通讯、照相摄录</w:t>
            </w:r>
            <w:r>
              <w:rPr>
                <w:rFonts w:ascii="仿宋_GB2312" w:eastAsia="仿宋_GB2312" w:hAnsi="仿宋" w:cs="Arial" w:hint="eastAsia"/>
                <w:color w:val="000000"/>
                <w:sz w:val="24"/>
              </w:rPr>
              <w:lastRenderedPageBreak/>
              <w:t>设备以及其他未经许可的记录用具进入赛场</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lastRenderedPageBreak/>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裁判人员是否存在徇私舞弊、擅离职守等违规现象</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现场裁判是否做好组织引导、赛场纪律维护等工作，认真填写并及时上交《赛场记录表》</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竞赛过程中，裁判人员发现参赛队伍（选手）违规情况，是否及时有效处理</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331"/>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抽签加密监督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检录、抽签是否按照竞赛规程规定准时进行</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检录裁判是否依照检录表进行点名核对，并在确认无误后及时向裁判长递交检录单</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加密裁判是否严格遵照抽签加密纪律，每一步加密环节均由不同加密裁判执行并妥善保管加密结果</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所有比赛是否至少有两次抽签加密，有竞赛作品的，是否有第三次加密</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整个抽签加密过程是否由裁判长主持、由加密裁判组织实施，无其他无关人员在场干涉</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423"/>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成绩评定监督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竞赛所采用的评分方式是否符合大赛制度规定</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裁判员和记分员数量是否达到对应评分方式的最低要求</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349"/>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评分裁判是否独立判分，互不干扰</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记分人员计分时是否仔细核算，保证大赛成绩的准确性</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445"/>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裁判长是否在竞赛结束后规定时间内提交评分结果</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成绩复检监督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竞赛成绩统计完毕后，复核赛项总成绩排名前</w:t>
            </w:r>
            <w:r>
              <w:rPr>
                <w:rFonts w:ascii="仿宋_GB2312" w:eastAsia="仿宋_GB2312" w:hAnsi="仿宋" w:cs="Arial"/>
                <w:color w:val="000000"/>
                <w:sz w:val="24"/>
              </w:rPr>
              <w:t>30%</w:t>
            </w:r>
            <w:r>
              <w:rPr>
                <w:rFonts w:ascii="仿宋_GB2312" w:eastAsia="仿宋_GB2312" w:hAnsi="仿宋" w:cs="Arial" w:hint="eastAsia"/>
                <w:color w:val="000000"/>
                <w:sz w:val="24"/>
              </w:rPr>
              <w:t>的所有参赛队伍（选手）的成绩</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竞赛成绩统计完毕后，抽检赛项总成绩排名后</w:t>
            </w:r>
            <w:r>
              <w:rPr>
                <w:rFonts w:ascii="仿宋_GB2312" w:eastAsia="仿宋_GB2312" w:hAnsi="仿宋" w:cs="Arial"/>
                <w:color w:val="000000"/>
                <w:sz w:val="24"/>
              </w:rPr>
              <w:t>70%</w:t>
            </w:r>
            <w:r>
              <w:rPr>
                <w:rFonts w:ascii="仿宋_GB2312" w:eastAsia="仿宋_GB2312" w:hAnsi="仿宋" w:cs="Arial" w:hint="eastAsia"/>
                <w:color w:val="000000"/>
                <w:sz w:val="24"/>
              </w:rPr>
              <w:t>的所有参赛队伍（选手）的成绩，抽检覆盖率不得低于</w:t>
            </w:r>
            <w:r>
              <w:rPr>
                <w:rFonts w:ascii="仿宋_GB2312" w:eastAsia="仿宋_GB2312" w:hAnsi="仿宋" w:cs="Arial"/>
                <w:color w:val="000000"/>
                <w:sz w:val="24"/>
              </w:rPr>
              <w:t>15%</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680"/>
        </w:trPr>
        <w:tc>
          <w:tcPr>
            <w:tcW w:w="709" w:type="dxa"/>
            <w:vMerge w:val="restart"/>
            <w:vAlign w:val="center"/>
          </w:tcPr>
          <w:p w:rsidR="008A5E2B" w:rsidRDefault="008A5E2B" w:rsidP="00F940AC">
            <w:pPr>
              <w:snapToGrid w:val="0"/>
              <w:jc w:val="center"/>
              <w:rPr>
                <w:rFonts w:ascii="仿宋_GB2312" w:eastAsia="仿宋_GB2312" w:hAnsi="仿宋" w:cs="Arial"/>
                <w:b/>
                <w:color w:val="000000"/>
                <w:sz w:val="24"/>
              </w:rPr>
            </w:pPr>
            <w:r>
              <w:rPr>
                <w:rFonts w:ascii="仿宋_GB2312" w:eastAsia="仿宋_GB2312" w:hAnsi="仿宋" w:cs="Arial" w:hint="eastAsia"/>
                <w:b/>
                <w:color w:val="000000"/>
                <w:sz w:val="24"/>
              </w:rPr>
              <w:t>成绩发布与留档备案监督</w:t>
            </w: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赛项最终成绩是否在比赛结束后，由裁判长、监督仲裁人员签字确认后公示</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574"/>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发布的最终成绩是否公示无异疑后公布</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r w:rsidR="008A5E2B" w:rsidTr="00F940AC">
        <w:trPr>
          <w:trHeight w:val="1034"/>
        </w:trPr>
        <w:tc>
          <w:tcPr>
            <w:tcW w:w="709" w:type="dxa"/>
            <w:vMerge/>
            <w:vAlign w:val="center"/>
          </w:tcPr>
          <w:p w:rsidR="008A5E2B" w:rsidRDefault="008A5E2B" w:rsidP="00F940AC">
            <w:pPr>
              <w:snapToGrid w:val="0"/>
              <w:jc w:val="center"/>
              <w:rPr>
                <w:rFonts w:ascii="仿宋_GB2312" w:eastAsia="仿宋_GB2312" w:hAnsi="仿宋" w:cs="Arial"/>
                <w:b/>
                <w:color w:val="000000"/>
                <w:sz w:val="24"/>
              </w:rPr>
            </w:pPr>
          </w:p>
        </w:tc>
        <w:tc>
          <w:tcPr>
            <w:tcW w:w="5670" w:type="dxa"/>
            <w:vAlign w:val="center"/>
          </w:tcPr>
          <w:p w:rsidR="008A5E2B" w:rsidRDefault="008A5E2B" w:rsidP="00F940AC">
            <w:pPr>
              <w:snapToGrid w:val="0"/>
              <w:jc w:val="left"/>
              <w:rPr>
                <w:rFonts w:ascii="仿宋_GB2312" w:eastAsia="仿宋_GB2312" w:hAnsi="仿宋" w:cs="Arial"/>
                <w:color w:val="000000"/>
                <w:sz w:val="24"/>
              </w:rPr>
            </w:pPr>
            <w:r>
              <w:rPr>
                <w:rFonts w:ascii="仿宋_GB2312" w:eastAsia="仿宋_GB2312" w:hAnsi="仿宋" w:cs="Arial" w:hint="eastAsia"/>
                <w:color w:val="000000"/>
                <w:sz w:val="24"/>
              </w:rPr>
              <w:t>赛项结束后，每个比赛环节裁判判分的原始材料和最终成绩等结果性材料都确保无误后密封装袋</w:t>
            </w:r>
          </w:p>
        </w:tc>
        <w:tc>
          <w:tcPr>
            <w:tcW w:w="1276" w:type="dxa"/>
            <w:vAlign w:val="center"/>
          </w:tcPr>
          <w:p w:rsidR="008A5E2B" w:rsidRDefault="008A5E2B" w:rsidP="00F940AC">
            <w:pPr>
              <w:snapToGrid w:val="0"/>
              <w:jc w:val="center"/>
              <w:rPr>
                <w:rFonts w:ascii="仿宋_GB2312" w:eastAsia="仿宋_GB2312" w:hAnsi="仿宋" w:cs="Arial"/>
                <w:color w:val="000000"/>
                <w:sz w:val="24"/>
              </w:rPr>
            </w:pPr>
            <w:r>
              <w:rPr>
                <w:rFonts w:ascii="仿宋_GB2312" w:eastAsia="仿宋_GB2312" w:hAnsi="仿宋" w:cs="Arial" w:hint="eastAsia"/>
                <w:color w:val="000000"/>
                <w:sz w:val="24"/>
              </w:rPr>
              <w:t>□是□否</w:t>
            </w:r>
          </w:p>
        </w:tc>
        <w:tc>
          <w:tcPr>
            <w:tcW w:w="850" w:type="dxa"/>
          </w:tcPr>
          <w:p w:rsidR="008A5E2B" w:rsidRDefault="008A5E2B" w:rsidP="00F940AC">
            <w:pPr>
              <w:snapToGrid w:val="0"/>
              <w:jc w:val="center"/>
              <w:rPr>
                <w:rFonts w:ascii="仿宋_GB2312" w:eastAsia="仿宋_GB2312" w:hAnsi="仿宋" w:cs="Arial"/>
                <w:color w:val="000000"/>
                <w:sz w:val="24"/>
              </w:rPr>
            </w:pPr>
          </w:p>
        </w:tc>
      </w:tr>
    </w:tbl>
    <w:p w:rsidR="008A5E2B" w:rsidRDefault="008A5E2B" w:rsidP="008A5E2B">
      <w:pPr>
        <w:rPr>
          <w:rFonts w:ascii="Arial Narrow" w:eastAsia="仿宋_GB2312" w:hAnsi="Arial Narrow"/>
          <w:color w:val="000000"/>
          <w:sz w:val="28"/>
          <w:szCs w:val="21"/>
        </w:rPr>
      </w:pPr>
    </w:p>
    <w:p w:rsidR="008A5E2B" w:rsidRDefault="008A5E2B" w:rsidP="008A5E2B">
      <w:pPr>
        <w:rPr>
          <w:rFonts w:ascii="Arial Narrow" w:eastAsia="仿宋_GB2312" w:hAnsi="Arial Narrow"/>
          <w:color w:val="000000"/>
          <w:sz w:val="28"/>
          <w:szCs w:val="21"/>
        </w:rPr>
      </w:pPr>
      <w:r>
        <w:rPr>
          <w:rFonts w:ascii="Arial Narrow" w:eastAsia="仿宋_GB2312" w:hAnsi="Arial Narrow" w:hint="eastAsia"/>
          <w:color w:val="000000"/>
          <w:sz w:val="28"/>
          <w:szCs w:val="21"/>
        </w:rPr>
        <w:t>技术监督员签名：</w:t>
      </w:r>
      <w:r>
        <w:rPr>
          <w:rFonts w:ascii="Arial Narrow" w:eastAsia="仿宋_GB2312" w:hAnsi="Arial Narrow"/>
          <w:color w:val="000000"/>
          <w:sz w:val="28"/>
          <w:szCs w:val="21"/>
        </w:rPr>
        <w:t xml:space="preserve">                       </w:t>
      </w:r>
      <w:r>
        <w:rPr>
          <w:rFonts w:ascii="Arial Narrow" w:eastAsia="仿宋_GB2312" w:hAnsi="Arial Narrow" w:hint="eastAsia"/>
          <w:color w:val="000000"/>
          <w:sz w:val="28"/>
          <w:szCs w:val="21"/>
        </w:rPr>
        <w:t>日期：</w:t>
      </w:r>
    </w:p>
    <w:p w:rsidR="00660032" w:rsidRPr="008A5E2B" w:rsidRDefault="00660032">
      <w:bookmarkStart w:id="0" w:name="_GoBack"/>
      <w:bookmarkEnd w:id="0"/>
    </w:p>
    <w:sectPr w:rsidR="00660032" w:rsidRPr="008A5E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C87" w:rsidRDefault="00FD5C87" w:rsidP="008A5E2B">
      <w:r>
        <w:separator/>
      </w:r>
    </w:p>
  </w:endnote>
  <w:endnote w:type="continuationSeparator" w:id="0">
    <w:p w:rsidR="00FD5C87" w:rsidRDefault="00FD5C87" w:rsidP="008A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Narrow">
    <w:altName w:val="Times New Roman"/>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C87" w:rsidRDefault="00FD5C87" w:rsidP="008A5E2B">
      <w:r>
        <w:separator/>
      </w:r>
    </w:p>
  </w:footnote>
  <w:footnote w:type="continuationSeparator" w:id="0">
    <w:p w:rsidR="00FD5C87" w:rsidRDefault="00FD5C87" w:rsidP="008A5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5E"/>
    <w:rsid w:val="00660032"/>
    <w:rsid w:val="008A5E2B"/>
    <w:rsid w:val="00F4125E"/>
    <w:rsid w:val="00FD5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F18E0-673B-4628-A6E3-74E0B30A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E2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E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5E2B"/>
    <w:rPr>
      <w:sz w:val="18"/>
      <w:szCs w:val="18"/>
    </w:rPr>
  </w:style>
  <w:style w:type="paragraph" w:styleId="a4">
    <w:name w:val="footer"/>
    <w:basedOn w:val="a"/>
    <w:link w:val="Char0"/>
    <w:uiPriority w:val="99"/>
    <w:unhideWhenUsed/>
    <w:rsid w:val="008A5E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5E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1872</Characters>
  <Application>Microsoft Office Word</Application>
  <DocSecurity>0</DocSecurity>
  <Lines>15</Lines>
  <Paragraphs>4</Paragraphs>
  <ScaleCrop>false</ScaleCrop>
  <Company>铭轩电子</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2022-09-15T00:42:00Z</dcterms:created>
  <dcterms:modified xsi:type="dcterms:W3CDTF">2022-09-15T00:42:00Z</dcterms:modified>
</cp:coreProperties>
</file>